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0"/>
          <w:lang w:val="ru-RU"/>
        </w:rPr>
      </w:pPr>
      <w:r>
        <w:rPr>
          <w:sz w:val="20"/>
          <w:lang w:val="ru-RU"/>
        </w:rPr>
        <w:drawing>
          <wp:inline distT="0" distB="0" distL="114300" distR="114300">
            <wp:extent cx="5937885" cy="8166735"/>
            <wp:effectExtent l="0" t="0" r="5715" b="5715"/>
            <wp:docPr id="1" name="Изображение 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Scan"/>
                    <pic:cNvPicPr>
                      <a:picLocks noChangeAspect="1"/>
                    </pic:cNvPicPr>
                  </pic:nvPicPr>
                  <pic:blipFill>
                    <a:blip r:embed="rId6"/>
                    <a:stretch>
                      <a:fillRect/>
                    </a:stretch>
                  </pic:blipFill>
                  <pic:spPr>
                    <a:xfrm>
                      <a:off x="0" y="0"/>
                      <a:ext cx="5937885" cy="8166735"/>
                    </a:xfrm>
                    <a:prstGeom prst="rect">
                      <a:avLst/>
                    </a:prstGeom>
                  </pic:spPr>
                </pic:pic>
              </a:graphicData>
            </a:graphic>
          </wp:inline>
        </w:drawing>
      </w:r>
    </w:p>
    <w:p>
      <w:pPr>
        <w:pStyle w:val="4"/>
        <w:rPr>
          <w:sz w:val="20"/>
          <w:lang w:val="ru-RU"/>
        </w:rPr>
      </w:pPr>
    </w:p>
    <w:p>
      <w:pPr>
        <w:pStyle w:val="4"/>
        <w:rPr>
          <w:sz w:val="20"/>
          <w:lang w:val="ru-RU"/>
        </w:rPr>
      </w:pPr>
    </w:p>
    <w:p>
      <w:pPr>
        <w:pStyle w:val="4"/>
        <w:rPr>
          <w:sz w:val="20"/>
          <w:lang w:val="ru-RU"/>
        </w:rPr>
      </w:pPr>
    </w:p>
    <w:p>
      <w:pPr>
        <w:pStyle w:val="4"/>
        <w:rPr>
          <w:sz w:val="28"/>
          <w:szCs w:val="28"/>
          <w:lang w:val="ru-RU"/>
        </w:rPr>
      </w:pPr>
    </w:p>
    <w:p>
      <w:pPr>
        <w:pStyle w:val="4"/>
        <w:rPr>
          <w:b/>
          <w:sz w:val="28"/>
          <w:szCs w:val="28"/>
          <w:lang w:val="ru-RU"/>
        </w:rPr>
      </w:pPr>
    </w:p>
    <w:p>
      <w:pPr>
        <w:pStyle w:val="4"/>
        <w:rPr>
          <w:b/>
          <w:sz w:val="28"/>
          <w:szCs w:val="28"/>
          <w:lang w:val="ru-RU"/>
        </w:rPr>
      </w:pPr>
    </w:p>
    <w:p>
      <w:pPr>
        <w:pStyle w:val="4"/>
        <w:rPr>
          <w:b/>
          <w:sz w:val="28"/>
          <w:szCs w:val="28"/>
          <w:lang w:val="ru-RU"/>
        </w:rPr>
      </w:pPr>
      <w:r>
        <w:rPr>
          <w:b/>
          <w:sz w:val="28"/>
          <w:szCs w:val="28"/>
          <w:lang w:val="ru-RU"/>
        </w:rPr>
        <w:t xml:space="preserve">Программа внеурочной деятельности: </w:t>
      </w:r>
    </w:p>
    <w:p>
      <w:pPr>
        <w:pStyle w:val="4"/>
        <w:rPr>
          <w:sz w:val="28"/>
          <w:szCs w:val="28"/>
          <w:lang w:val="ru-RU"/>
        </w:rPr>
      </w:pPr>
      <w:r>
        <w:rPr>
          <w:sz w:val="28"/>
          <w:szCs w:val="28"/>
          <w:lang w:val="ru-RU"/>
        </w:rPr>
        <w:t>(название «Шахматы»)</w:t>
      </w:r>
    </w:p>
    <w:p>
      <w:pPr>
        <w:pStyle w:val="4"/>
        <w:rPr>
          <w:sz w:val="28"/>
          <w:szCs w:val="28"/>
          <w:lang w:val="ru-RU"/>
        </w:rPr>
      </w:pPr>
    </w:p>
    <w:p>
      <w:pPr>
        <w:pStyle w:val="4"/>
        <w:rPr>
          <w:color w:val="000000"/>
          <w:sz w:val="28"/>
          <w:szCs w:val="28"/>
          <w:shd w:val="clear" w:color="auto" w:fill="FFFFFF"/>
          <w:lang w:val="ru-RU"/>
        </w:rPr>
      </w:pPr>
      <w:r>
        <w:rPr>
          <w:b/>
          <w:color w:val="000000"/>
          <w:sz w:val="27"/>
          <w:szCs w:val="27"/>
          <w:lang w:val="ru-RU"/>
        </w:rPr>
        <w:t>Автор программы</w:t>
      </w:r>
      <w:r>
        <w:rPr>
          <w:color w:val="000000"/>
          <w:sz w:val="27"/>
          <w:szCs w:val="27"/>
          <w:lang w:val="ru-RU"/>
        </w:rPr>
        <w:t>:</w:t>
      </w:r>
      <w:r>
        <w:rPr>
          <w:color w:val="000000"/>
          <w:sz w:val="22"/>
          <w:szCs w:val="22"/>
          <w:shd w:val="clear" w:color="auto" w:fill="FFFFFF"/>
          <w:lang w:val="ru-RU"/>
        </w:rPr>
        <w:t xml:space="preserve">  </w:t>
      </w:r>
      <w:r>
        <w:rPr>
          <w:color w:val="000000"/>
          <w:sz w:val="28"/>
          <w:szCs w:val="28"/>
          <w:shd w:val="clear" w:color="auto" w:fill="FFFFFF"/>
          <w:lang w:val="ru-RU"/>
        </w:rPr>
        <w:t>Андреев А.Л.</w:t>
      </w:r>
    </w:p>
    <w:p>
      <w:pPr>
        <w:pStyle w:val="4"/>
        <w:rPr>
          <w:b/>
          <w:sz w:val="28"/>
          <w:szCs w:val="28"/>
          <w:lang w:val="ru-RU"/>
        </w:rPr>
      </w:pPr>
      <w:r>
        <w:rPr>
          <w:color w:val="000000"/>
          <w:sz w:val="28"/>
          <w:szCs w:val="28"/>
          <w:shd w:val="clear" w:color="auto" w:fill="FFFFFF"/>
          <w:lang w:val="ru-RU"/>
        </w:rPr>
        <w:t>На основе пособия Дорофеевой А.Г «Хочу учиться шахматам» 2013.</w:t>
      </w:r>
    </w:p>
    <w:p>
      <w:pPr>
        <w:pStyle w:val="4"/>
        <w:rPr>
          <w:b/>
          <w:sz w:val="28"/>
          <w:szCs w:val="28"/>
          <w:lang w:val="ru-RU"/>
        </w:rPr>
      </w:pPr>
    </w:p>
    <w:p>
      <w:pPr>
        <w:pStyle w:val="4"/>
        <w:rPr>
          <w:b/>
          <w:sz w:val="28"/>
          <w:szCs w:val="28"/>
          <w:lang w:val="ru-RU"/>
        </w:rPr>
      </w:pPr>
    </w:p>
    <w:p>
      <w:pPr>
        <w:pStyle w:val="4"/>
        <w:rPr>
          <w:b/>
          <w:sz w:val="28"/>
          <w:szCs w:val="28"/>
          <w:lang w:val="ru-RU"/>
        </w:rPr>
      </w:pPr>
      <w:r>
        <w:rPr>
          <w:b/>
          <w:sz w:val="28"/>
          <w:szCs w:val="28"/>
          <w:lang w:val="ru-RU"/>
        </w:rPr>
        <w:t>Программа рассмотрена и утверждена на заседании педагогического совета</w:t>
      </w:r>
    </w:p>
    <w:p>
      <w:pPr>
        <w:pStyle w:val="4"/>
        <w:rPr>
          <w:b/>
          <w:sz w:val="28"/>
          <w:szCs w:val="28"/>
          <w:lang w:val="ru-RU"/>
        </w:rPr>
      </w:pPr>
      <w:r>
        <w:rPr>
          <w:b/>
          <w:sz w:val="28"/>
          <w:szCs w:val="28"/>
          <w:lang w:val="ru-RU"/>
        </w:rPr>
        <w:t>От «__»______20__ г., протокол №____</w:t>
      </w:r>
    </w:p>
    <w:p>
      <w:pPr>
        <w:pStyle w:val="4"/>
        <w:rPr>
          <w:b/>
          <w:sz w:val="28"/>
          <w:szCs w:val="28"/>
          <w:lang w:val="ru-RU"/>
        </w:rPr>
      </w:pPr>
    </w:p>
    <w:p>
      <w:pPr>
        <w:pStyle w:val="4"/>
        <w:rPr>
          <w:b/>
          <w:sz w:val="28"/>
          <w:szCs w:val="28"/>
          <w:lang w:val="ru-RU"/>
        </w:rPr>
      </w:pPr>
      <w:r>
        <w:rPr>
          <w:b/>
          <w:sz w:val="28"/>
          <w:szCs w:val="28"/>
          <w:lang w:val="ru-RU"/>
        </w:rPr>
        <w:t>Председатель        _____________                                    _____________</w:t>
      </w:r>
    </w:p>
    <w:p>
      <w:pPr>
        <w:pStyle w:val="4"/>
        <w:rPr>
          <w:b/>
          <w:sz w:val="28"/>
          <w:szCs w:val="28"/>
          <w:lang w:val="ru-RU"/>
        </w:rPr>
      </w:pPr>
      <w:r>
        <w:rPr>
          <w:b/>
          <w:sz w:val="28"/>
          <w:szCs w:val="28"/>
          <w:lang w:val="ru-RU"/>
        </w:rPr>
        <w:t xml:space="preserve">                                    Подпись                                                    Ф.И.О.</w:t>
      </w: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eastAsia="Times New Roman" w:cs="Times New Roman"/>
          <w:b/>
          <w:bCs/>
          <w:color w:val="000000"/>
          <w:sz w:val="24"/>
          <w:szCs w:val="24"/>
        </w:rPr>
      </w:pPr>
    </w:p>
    <w:p>
      <w:pPr>
        <w:spacing w:after="0" w:line="24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Результаты освоения курса внеурочной деятельности</w:t>
      </w:r>
    </w:p>
    <w:p>
      <w:pPr>
        <w:spacing w:after="0" w:line="240" w:lineRule="auto"/>
        <w:rPr>
          <w:rFonts w:ascii="Times New Roman" w:hAnsi="Times New Roman" w:eastAsia="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Ожидаемые результаты:</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овладение навыками игры в шахматы;</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интеллектуальное развитие детей;</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результативное участие в соревнованиях различных уровней.</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Личностные, метапредметные и предметные результаты освоения программы курса «Шахматы».</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bCs/>
          <w:color w:val="000000"/>
          <w:sz w:val="24"/>
          <w:szCs w:val="24"/>
        </w:rPr>
        <w:t>Личностными результатами изучения данного внеурочного курса являются:</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развитие любознательности и сообразительности;</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развитие целеустремлённости, внимательности, умения контролировать свои действия;</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развитие навыков сотрудничества со сверстниками;</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развитие наглядно-образного мышления и логики.</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Предметные и метапредметные результаты представлены в содержании программы в разделах «Учащиеся должны знать» и «Учащиеся должны уметь».</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bCs/>
          <w:color w:val="000000"/>
          <w:sz w:val="24"/>
          <w:szCs w:val="24"/>
        </w:rPr>
        <w:t>К концу изучения</w:t>
      </w:r>
      <w:r>
        <w:rPr>
          <w:rFonts w:ascii="Times New Roman" w:hAnsi="Times New Roman" w:eastAsia="Times New Roman" w:cs="Times New Roman"/>
          <w:b/>
          <w:bCs/>
          <w:i/>
          <w:iCs/>
          <w:color w:val="000000"/>
          <w:sz w:val="24"/>
          <w:szCs w:val="24"/>
        </w:rPr>
        <w:t> </w:t>
      </w:r>
      <w:r>
        <w:rPr>
          <w:rFonts w:ascii="Times New Roman" w:hAnsi="Times New Roman" w:eastAsia="Times New Roman" w:cs="Times New Roman"/>
          <w:b/>
          <w:bCs/>
          <w:color w:val="000000"/>
          <w:sz w:val="24"/>
          <w:szCs w:val="24"/>
        </w:rPr>
        <w:t>модуля I учащиеся должны</w:t>
      </w:r>
      <w:r>
        <w:rPr>
          <w:rFonts w:ascii="Times New Roman" w:hAnsi="Times New Roman" w:eastAsia="Times New Roman" w:cs="Times New Roman"/>
          <w:b/>
          <w:bCs/>
          <w:i/>
          <w:iCs/>
          <w:color w:val="000000"/>
          <w:sz w:val="24"/>
          <w:szCs w:val="24"/>
        </w:rPr>
        <w:t> </w:t>
      </w:r>
      <w:r>
        <w:rPr>
          <w:rFonts w:ascii="Times New Roman" w:hAnsi="Times New Roman" w:eastAsia="Times New Roman" w:cs="Times New Roman"/>
          <w:b/>
          <w:bCs/>
          <w:color w:val="000000"/>
          <w:sz w:val="24"/>
          <w:szCs w:val="24"/>
        </w:rPr>
        <w:t>знать:</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шахматную доску и её структуру;</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обозначение полей линий;</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ходы и взятия всех фигур, рокировку;</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основные шахматные понятия (шах, мат, пат, выигрыш, ничья,</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ударность и подвижность фигур, ценность фигур, угроза, нападение,</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защита, три стадии шахматной партии, развитие и др.);</w:t>
      </w:r>
    </w:p>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К концу изучения</w:t>
      </w:r>
      <w:r>
        <w:rPr>
          <w:rFonts w:ascii="Times New Roman" w:hAnsi="Times New Roman" w:eastAsia="Times New Roman" w:cs="Times New Roman"/>
          <w:b/>
          <w:bCs/>
          <w:i/>
          <w:iCs/>
          <w:color w:val="000000"/>
          <w:sz w:val="24"/>
          <w:szCs w:val="24"/>
        </w:rPr>
        <w:t xml:space="preserve">  </w:t>
      </w:r>
      <w:r>
        <w:rPr>
          <w:rFonts w:ascii="Times New Roman" w:hAnsi="Times New Roman" w:eastAsia="Times New Roman" w:cs="Times New Roman"/>
          <w:b/>
          <w:bCs/>
          <w:color w:val="000000"/>
          <w:sz w:val="24"/>
          <w:szCs w:val="24"/>
        </w:rPr>
        <w:t>учащиеся должны</w:t>
      </w:r>
      <w:r>
        <w:rPr>
          <w:rFonts w:ascii="Times New Roman" w:hAnsi="Times New Roman" w:eastAsia="Times New Roman" w:cs="Times New Roman"/>
          <w:b/>
          <w:bCs/>
          <w:i/>
          <w:iCs/>
          <w:color w:val="000000"/>
          <w:sz w:val="24"/>
          <w:szCs w:val="24"/>
        </w:rPr>
        <w:t> </w:t>
      </w:r>
      <w:r>
        <w:rPr>
          <w:rFonts w:ascii="Times New Roman" w:hAnsi="Times New Roman" w:eastAsia="Times New Roman" w:cs="Times New Roman"/>
          <w:b/>
          <w:bCs/>
          <w:color w:val="000000"/>
          <w:sz w:val="24"/>
          <w:szCs w:val="24"/>
        </w:rPr>
        <w:t>уметь</w:t>
      </w:r>
      <w:r>
        <w:rPr>
          <w:rFonts w:ascii="Times New Roman" w:hAnsi="Times New Roman" w:eastAsia="Times New Roman" w:cs="Times New Roman"/>
          <w:bCs/>
          <w:color w:val="000000"/>
          <w:sz w:val="24"/>
          <w:szCs w:val="24"/>
        </w:rPr>
        <w:t>:</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играть партию от начала до конца по шахматным правилам;</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записывать партии и позиции, разыгрывать партии по записи;</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находить мат в один ход в любых задачах такого типа;</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оценивать количество материала каждой из сторон и определять</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наличие материального перевеса;</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планировать, контролировать и оценивать действия соперников;</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определять общую цель и пути её достижения;</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 решать лабиринтные задачи (маршруты фигур) на шахматном материале.</w:t>
      </w:r>
    </w:p>
    <w:p>
      <w:pPr>
        <w:pStyle w:val="8"/>
        <w:numPr>
          <w:ilvl w:val="0"/>
          <w:numId w:val="0"/>
        </w:numPr>
        <w:ind w:left="360" w:leftChars="0"/>
        <w:rPr>
          <w:rFonts w:hint="default" w:ascii="Times New Roman" w:hAnsi="Times New Roman" w:cs="Times New Roman"/>
          <w:b/>
          <w:bCs/>
          <w:sz w:val="24"/>
          <w:szCs w:val="24"/>
          <w:lang w:val="en-US" w:eastAsia="ru-RU"/>
        </w:rPr>
      </w:pPr>
      <w:r>
        <w:rPr>
          <w:rFonts w:ascii="Times New Roman" w:hAnsi="Times New Roman" w:cs="Times New Roman"/>
          <w:b/>
          <w:bCs/>
          <w:sz w:val="24"/>
          <w:szCs w:val="24"/>
          <w:lang w:eastAsia="ru-RU"/>
        </w:rPr>
        <w:t>Для</w:t>
      </w:r>
      <w:r>
        <w:rPr>
          <w:rFonts w:hint="default" w:ascii="Times New Roman" w:hAnsi="Times New Roman" w:cs="Times New Roman"/>
          <w:b/>
          <w:bCs/>
          <w:sz w:val="24"/>
          <w:szCs w:val="24"/>
          <w:lang w:val="en-US" w:eastAsia="ru-RU"/>
        </w:rPr>
        <w:t xml:space="preserve"> реализации программы используется оборудование центра «Точка Роста»</w:t>
      </w:r>
    </w:p>
    <w:p>
      <w:pPr>
        <w:spacing w:after="0" w:line="240" w:lineRule="auto"/>
        <w:jc w:val="center"/>
        <w:rPr>
          <w:rFonts w:ascii="Times New Roman" w:hAnsi="Times New Roman" w:eastAsia="Times New Roman" w:cs="Times New Roman"/>
          <w:color w:val="000000"/>
          <w:sz w:val="24"/>
          <w:szCs w:val="24"/>
        </w:rPr>
      </w:pPr>
      <w:bookmarkStart w:id="0" w:name="_GoBack"/>
      <w:bookmarkEnd w:id="0"/>
    </w:p>
    <w:p>
      <w:pPr>
        <w:spacing w:after="0" w:line="240" w:lineRule="auto"/>
        <w:jc w:val="center"/>
        <w:rPr>
          <w:rFonts w:ascii="Times New Roman" w:hAnsi="Times New Roman" w:eastAsia="Times New Roman" w:cs="Times New Roman"/>
          <w:b/>
          <w:bCs/>
          <w:color w:val="000000" w:themeColor="text1"/>
          <w:sz w:val="24"/>
          <w:szCs w:val="24"/>
        </w:rPr>
      </w:pPr>
      <w:r>
        <w:rPr>
          <w:rFonts w:ascii="Times New Roman" w:hAnsi="Times New Roman" w:cs="Times New Roman"/>
          <w:b/>
          <w:color w:val="000000" w:themeColor="text1"/>
          <w:sz w:val="27"/>
          <w:szCs w:val="27"/>
          <w:shd w:val="clear" w:color="auto" w:fill="FFFFFF"/>
        </w:rPr>
        <w:t>Содержание курса внеурочной деятельности</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Шахматная доска и фигуры (3 ч)</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Шахматная доска. Поля, линии. Легенда о возникновении шахмат.</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Обозначение полей и линий. Шахматные фигуры и их обозначения.</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Ходы и взятия фигур (13 ч)</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Ходы и взятия ладьи, слона, ферзя, короля и пешки. Ударность и</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подвижность фигур в зависимости от положения на доске. Угроза, нападение, защита. Превращение и взятие на проходе пешкой. Значение короля. Шах. Короткая и длинная рокировка. Начальная позиция. Запись шахматных позиций. Практическая игра.</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Цель и результат шахматной партии. Шах, мат и пат (10 ч)</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Способы защиты от шаха. Открытый, двойной шах. Мат. Сходство</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и различие между понятиями шаха и мата. Алгоритм решения задач на</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мат в один ход. Пат. «Бешеные» фигуры. Сходство и различие между</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понятиями мата и пата. Выигрыш, ничья, виды ничьей (в том числе вечный шах). Правила шахматных соревнований. Шахматные часы.</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Запись шахматных ходов (2 ч)</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Принцип записи перемещения фигуры. Полная и краткая нотация.</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Условные обозначения перемещения, взятия, рокировки. Шахматный диктант.</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Ценность шахматных фигур. Нападение и защита, размен (2 ч)</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Ценность фигур. Единица измерения ценности. Изменение ценности</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в зависимости от ситуации на доске. Размен. Равноценный и</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неравноценный размен. Материальный перевес, качество.</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Общие принципы разыгрывания дебюта (4 ч)</w:t>
      </w:r>
    </w:p>
    <w:p>
      <w:pPr>
        <w:spacing w:after="0" w:line="240" w:lineRule="auto"/>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Мобилизация фигур, безопасность короля, борьба за центр и </w:t>
      </w:r>
      <w:r>
        <w:rPr>
          <w:rFonts w:ascii="Times New Roman" w:hAnsi="Times New Roman" w:eastAsia="Times New Roman" w:cs="Times New Roman"/>
          <w:bCs/>
          <w:color w:val="000000"/>
          <w:sz w:val="24"/>
          <w:szCs w:val="24"/>
        </w:rPr>
        <w:br w:type="textWrapping"/>
      </w:r>
      <w:r>
        <w:rPr>
          <w:rFonts w:ascii="Times New Roman" w:hAnsi="Times New Roman" w:eastAsia="Times New Roman" w:cs="Times New Roman"/>
          <w:bCs/>
          <w:color w:val="000000"/>
          <w:sz w:val="24"/>
          <w:szCs w:val="24"/>
        </w:rPr>
        <w:t>расположение пешек в дебюте. Классификация дебютов. Анализ учебных партий. Дебютные ловушки.</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Литература для учителя:</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Дорофеева А.Г. «хочу учить шахматам» 2013</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Шахматы- школе. Сост.Б.С. Гершунский, А.Н. Крогиуса, В.С.Хелендика.-М.: Педагогика</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17"/>
          <w:szCs w:val="17"/>
        </w:rPr>
      </w:pPr>
      <w:r>
        <w:rPr>
          <w:rFonts w:ascii="Times New Roman" w:hAnsi="Times New Roman" w:eastAsia="Times New Roman" w:cs="Times New Roman"/>
          <w:color w:val="000000"/>
          <w:sz w:val="17"/>
          <w:szCs w:val="17"/>
        </w:rPr>
        <w:br w:type="textWrapping"/>
      </w:r>
    </w:p>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Тематическое планирование курса «Шахматы» </w:t>
      </w:r>
      <w:r>
        <w:rPr>
          <w:rFonts w:hint="default" w:ascii="Times New Roman" w:hAnsi="Times New Roman" w:eastAsia="Times New Roman" w:cs="Times New Roman"/>
          <w:b/>
          <w:bCs/>
          <w:color w:val="000000"/>
          <w:sz w:val="24"/>
          <w:szCs w:val="24"/>
          <w:lang w:val="ru-RU"/>
        </w:rPr>
        <w:t>9</w:t>
      </w:r>
      <w:r>
        <w:rPr>
          <w:rFonts w:ascii="Times New Roman" w:hAnsi="Times New Roman" w:eastAsia="Times New Roman" w:cs="Times New Roman"/>
          <w:b/>
          <w:bCs/>
          <w:color w:val="000000"/>
          <w:sz w:val="24"/>
          <w:szCs w:val="24"/>
        </w:rPr>
        <w:t xml:space="preserve"> класс</w:t>
      </w:r>
    </w:p>
    <w:p>
      <w:pPr>
        <w:spacing w:after="0" w:line="240" w:lineRule="auto"/>
        <w:jc w:val="center"/>
        <w:rPr>
          <w:rFonts w:ascii="Times New Roman" w:hAnsi="Times New Roman" w:eastAsia="Times New Roman" w:cs="Times New Roman"/>
          <w:color w:val="000000"/>
          <w:sz w:val="24"/>
          <w:szCs w:val="24"/>
        </w:rPr>
      </w:pPr>
    </w:p>
    <w:tbl>
      <w:tblPr>
        <w:tblStyle w:val="3"/>
        <w:tblW w:w="9498" w:type="dxa"/>
        <w:tblInd w:w="-452" w:type="dxa"/>
        <w:tblLayout w:type="autofit"/>
        <w:tblCellMar>
          <w:top w:w="96" w:type="dxa"/>
          <w:left w:w="96" w:type="dxa"/>
          <w:bottom w:w="96" w:type="dxa"/>
          <w:right w:w="96" w:type="dxa"/>
        </w:tblCellMar>
      </w:tblPr>
      <w:tblGrid>
        <w:gridCol w:w="777"/>
        <w:gridCol w:w="712"/>
        <w:gridCol w:w="1835"/>
        <w:gridCol w:w="798"/>
        <w:gridCol w:w="5376"/>
      </w:tblGrid>
      <w:tr>
        <w:tblPrEx>
          <w:tblCellMar>
            <w:top w:w="96" w:type="dxa"/>
            <w:left w:w="96" w:type="dxa"/>
            <w:bottom w:w="96" w:type="dxa"/>
            <w:right w:w="96" w:type="dxa"/>
          </w:tblCellMar>
        </w:tblPrEx>
        <w:trPr>
          <w:trHeight w:val="588" w:hRule="atLeast"/>
        </w:trPr>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r>
              <w:rPr>
                <w:rFonts w:ascii="Times New Roman" w:hAnsi="Times New Roman" w:eastAsia="Times New Roman" w:cs="Times New Roman"/>
                <w:bCs/>
                <w:color w:val="000000"/>
                <w:sz w:val="24"/>
                <w:szCs w:val="24"/>
              </w:rPr>
              <w:br w:type="textWrapping"/>
            </w:r>
            <w:r>
              <w:rPr>
                <w:rFonts w:ascii="Times New Roman" w:hAnsi="Times New Roman" w:eastAsia="Times New Roman" w:cs="Times New Roman"/>
                <w:bCs/>
                <w:color w:val="000000"/>
                <w:sz w:val="24"/>
                <w:szCs w:val="24"/>
              </w:rPr>
              <w:t>п/п</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Дата</w:t>
            </w: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Тема занятия</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Кол-во часов</w:t>
            </w:r>
          </w:p>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34 ч</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Содержание деятельности</w:t>
            </w:r>
          </w:p>
        </w:tc>
      </w:tr>
      <w:tr>
        <w:tblPrEx>
          <w:tblCellMar>
            <w:top w:w="96" w:type="dxa"/>
            <w:left w:w="96" w:type="dxa"/>
            <w:bottom w:w="96" w:type="dxa"/>
            <w:right w:w="96" w:type="dxa"/>
          </w:tblCellMar>
        </w:tblPrEx>
        <w:tc>
          <w:tcPr>
            <w:tcW w:w="9498"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Шахматная доска и фигуры (3 ч)</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1/1</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Шахматная доска.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2/2</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Шахматная доска.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3/3</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Шахматная доска.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tc>
      </w:tr>
      <w:tr>
        <w:tblPrEx>
          <w:tblCellMar>
            <w:top w:w="96" w:type="dxa"/>
            <w:left w:w="96" w:type="dxa"/>
            <w:bottom w:w="96" w:type="dxa"/>
            <w:right w:w="96" w:type="dxa"/>
          </w:tblCellMar>
        </w:tblPrEx>
        <w:tc>
          <w:tcPr>
            <w:tcW w:w="9498"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Ходы и взятие фигур (13 ч)</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1/4</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Шахматные фигуры.</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2/5</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Начальное положение.</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3/6</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Ладья.</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4/7</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Ладья.</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5/8</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Слон.</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Место слона в начальном положении. Ход слона, взятие.</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6/9</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Слон.</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7/10</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Ладья против слона.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8/11</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Ферзь.</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Место ферзя в начальном положении. Ход ферзя, взятие. Ферзь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9/12</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Ферзь.</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игры "Захват контрольного поля", "Защита контрольного поля", "Игра на уничтожение" (ферзь против ферзя), "Ограничение подвижности".</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10/13</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Ферзь против ладьи и слона.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11/14</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Конь.</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Место коня в начальном положении. Ход коня, взятие. Конь–легкая фигура. Дидактические задания "Лабиринт", "Перехитри часовых", "Один в поле воин", "Кратчайший путь".</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12/15</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Конь.</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13/16</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Конь против ферзя, ладьи, слона.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r>
      <w:tr>
        <w:tblPrEx>
          <w:tblCellMar>
            <w:top w:w="96" w:type="dxa"/>
            <w:left w:w="96" w:type="dxa"/>
            <w:bottom w:w="96" w:type="dxa"/>
            <w:right w:w="96" w:type="dxa"/>
          </w:tblCellMar>
        </w:tblPrEx>
        <w:tc>
          <w:tcPr>
            <w:tcW w:w="9498"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Цель и результат шахматных партий. Шах, мат и пат (10 ч)</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1/17</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Пешка.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2/18</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Пешка.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3/19</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Пешка против ферзя, ладьи, коня, слона.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4/20</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Король.</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5/21</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Король.</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6/22</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Король против других фигур.</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7/23</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 ферзем, ладьей, слоном, конем, пешкой. Защита от шаха. Дидактические задания "Шах или не шах", "Дай шах", "Пять шахов", "Защита от шаха".</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8/24</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Шах.</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Открытый шах. Двойной шах. Дидактические задания "Дай открытый шах", "Дай двойной шах". Дидактическая игра "Первый шах".</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9/25</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Мат.</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Цель игры. Мат ферзем, ладьей, слоном, конем, пешкой. Дидактическое задание "Мат или не мат".</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10/26</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Мат.</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Мат в один ход. Мат в один ход ферзем, ладьей, слоном, конем, пешкой (простые примеры). Дидактическое задание "Мат в один ход".</w:t>
            </w:r>
          </w:p>
        </w:tc>
      </w:tr>
      <w:tr>
        <w:tblPrEx>
          <w:tblCellMar>
            <w:top w:w="96" w:type="dxa"/>
            <w:left w:w="96" w:type="dxa"/>
            <w:bottom w:w="96" w:type="dxa"/>
            <w:right w:w="96" w:type="dxa"/>
          </w:tblCellMar>
        </w:tblPrEx>
        <w:tc>
          <w:tcPr>
            <w:tcW w:w="9498"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Запись шахматных ходов (2 ч)</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1/27</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Условные обозначения перемещения, взятия.</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Мат в один ход: сложные примеры с большим числом шахматных фигур. Дидактическое задание "Дай мат в один ход".</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2/28</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Рокировка.</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Отличие пата от мата. Варианты ничьей. Примеры на пат. Дидактическое задание "Пат или не пат".</w:t>
            </w:r>
          </w:p>
        </w:tc>
      </w:tr>
      <w:tr>
        <w:tblPrEx>
          <w:tblCellMar>
            <w:top w:w="96" w:type="dxa"/>
            <w:left w:w="96" w:type="dxa"/>
            <w:bottom w:w="96" w:type="dxa"/>
            <w:right w:w="96" w:type="dxa"/>
          </w:tblCellMar>
        </w:tblPrEx>
        <w:tc>
          <w:tcPr>
            <w:tcW w:w="9498"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Ценность шахматных фигур. Нападение и защита, размен (2 ч)</w:t>
            </w:r>
          </w:p>
        </w:tc>
      </w:tr>
      <w:tr>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1/29</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Ценность фигур.</w:t>
            </w:r>
            <w:r>
              <w:rPr>
                <w:rFonts w:ascii="Times New Roman" w:hAnsi="Times New Roman" w:eastAsia="Times New Roman" w:cs="Times New Roman"/>
                <w:bCs/>
                <w:color w:val="000000"/>
                <w:sz w:val="24"/>
                <w:szCs w:val="24"/>
              </w:rPr>
              <w:br w:type="textWrapping"/>
            </w:r>
            <w:r>
              <w:rPr>
                <w:rFonts w:ascii="Times New Roman" w:hAnsi="Times New Roman" w:eastAsia="Times New Roman" w:cs="Times New Roman"/>
                <w:bCs/>
                <w:color w:val="000000"/>
                <w:sz w:val="24"/>
                <w:szCs w:val="24"/>
              </w:rPr>
              <w:t>Единица измерения ценности.</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Длинная и короткая рокировка. Правила рокировки. Дидактическое задание "Рокировка".</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2/30</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Размен. Равноценный и неравноценный размен.</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Игра всеми фигурами из начального положения (без пояснений о том, как лучше начинать шахматную партию). Дидактическая игра "Два хода".</w:t>
            </w:r>
          </w:p>
        </w:tc>
      </w:tr>
      <w:tr>
        <w:tblPrEx>
          <w:tblCellMar>
            <w:top w:w="96" w:type="dxa"/>
            <w:left w:w="96" w:type="dxa"/>
            <w:bottom w:w="96" w:type="dxa"/>
            <w:right w:w="96" w:type="dxa"/>
          </w:tblCellMar>
        </w:tblPrEx>
        <w:tc>
          <w:tcPr>
            <w:tcW w:w="9498" w:type="dxa"/>
            <w:gridSpan w:val="5"/>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Общие принципы разыгрывания дебюта (4ч)</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1/31</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Мобилизация фигур, безопасность короля, борьба за центр и расположение пешек в дебюте.</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Самые общие рекомендации о принципах разыгрывания дебюта. Игра всеми фигурами из начального положения.</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2/32</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Классификация дебютов.</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Демонстрация коротких партий. Игра всеми фигурами из начального положения.</w:t>
            </w: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3/33</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Анализ учебных партий.</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r>
      <w:tr>
        <w:tblPrEx>
          <w:tblCellMar>
            <w:top w:w="96" w:type="dxa"/>
            <w:left w:w="96" w:type="dxa"/>
            <w:bottom w:w="96" w:type="dxa"/>
            <w:right w:w="96" w:type="dxa"/>
          </w:tblCellMar>
        </w:tblPrEx>
        <w:tc>
          <w:tcPr>
            <w:tcW w:w="777"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4/34</w:t>
            </w:r>
          </w:p>
        </w:tc>
        <w:tc>
          <w:tcPr>
            <w:tcW w:w="712"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c>
          <w:tcPr>
            <w:tcW w:w="183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Раннее развитие ферзя.</w:t>
            </w:r>
          </w:p>
        </w:tc>
        <w:tc>
          <w:tcPr>
            <w:tcW w:w="798"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1</w:t>
            </w:r>
          </w:p>
        </w:tc>
        <w:tc>
          <w:tcPr>
            <w:tcW w:w="537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rPr>
            </w:pPr>
          </w:p>
        </w:tc>
      </w:tr>
    </w:tbl>
    <w:p>
      <w:pPr>
        <w:spacing w:after="0" w:line="240" w:lineRule="auto"/>
        <w:rPr>
          <w:rFonts w:ascii="Times New Roman" w:hAnsi="Times New Roman" w:eastAsia="Times New Roman" w:cs="Times New Roman"/>
          <w:color w:val="000000"/>
          <w:sz w:val="17"/>
          <w:szCs w:val="17"/>
        </w:rPr>
      </w:pPr>
      <w:r>
        <w:rPr>
          <w:rFonts w:ascii="Times New Roman" w:hAnsi="Times New Roman" w:eastAsia="Times New Roman" w:cs="Times New Roman"/>
          <w:color w:val="000000"/>
          <w:sz w:val="17"/>
          <w:szCs w:val="17"/>
        </w:rPr>
        <w:br w:type="textWrapping"/>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77380"/>
    <w:rsid w:val="001728DA"/>
    <w:rsid w:val="00371E2C"/>
    <w:rsid w:val="00377380"/>
    <w:rsid w:val="00396453"/>
    <w:rsid w:val="00465972"/>
    <w:rsid w:val="00544D37"/>
    <w:rsid w:val="00702D2C"/>
    <w:rsid w:val="00730E07"/>
    <w:rsid w:val="00763B0D"/>
    <w:rsid w:val="008C19EC"/>
    <w:rsid w:val="009B0CBE"/>
    <w:rsid w:val="00AA6B41"/>
    <w:rsid w:val="00B56C50"/>
    <w:rsid w:val="00C82507"/>
    <w:rsid w:val="00D61B48"/>
    <w:rsid w:val="00D86C1D"/>
    <w:rsid w:val="00DF366B"/>
    <w:rsid w:val="00EF13D9"/>
    <w:rsid w:val="00F5598D"/>
    <w:rsid w:val="00FB0E96"/>
    <w:rsid w:val="63976393"/>
    <w:rsid w:val="72A630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6"/>
    <w:semiHidden/>
    <w:unhideWhenUsed/>
    <w:qFormat/>
    <w:uiPriority w:val="1"/>
    <w:pPr>
      <w:widowControl w:val="0"/>
      <w:spacing w:after="0" w:line="240" w:lineRule="auto"/>
    </w:pPr>
    <w:rPr>
      <w:rFonts w:ascii="Times New Roman" w:hAnsi="Times New Roman" w:eastAsia="Times New Roman" w:cs="Times New Roman"/>
      <w:sz w:val="24"/>
      <w:szCs w:val="24"/>
      <w:lang w:val="en-US" w:eastAsia="en-US"/>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6">
    <w:name w:val="Основной текст Знак"/>
    <w:basedOn w:val="2"/>
    <w:link w:val="4"/>
    <w:semiHidden/>
    <w:uiPriority w:val="1"/>
    <w:rPr>
      <w:rFonts w:ascii="Times New Roman" w:hAnsi="Times New Roman" w:eastAsia="Times New Roman" w:cs="Times New Roman"/>
      <w:sz w:val="24"/>
      <w:szCs w:val="24"/>
      <w:lang w:val="en-US" w:eastAsia="en-US"/>
    </w:rPr>
  </w:style>
  <w:style w:type="table" w:customStyle="1" w:styleId="7">
    <w:name w:val="Table Normal"/>
    <w:semiHidden/>
    <w:qFormat/>
    <w:uiPriority w:val="2"/>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styleId="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766BD-6B5A-4F4D-8829-56F057BDEE7C}">
  <ds:schemaRefs/>
</ds:datastoreItem>
</file>

<file path=docProps/app.xml><?xml version="1.0" encoding="utf-8"?>
<Properties xmlns="http://schemas.openxmlformats.org/officeDocument/2006/extended-properties" xmlns:vt="http://schemas.openxmlformats.org/officeDocument/2006/docPropsVTypes">
  <Template>Normal</Template>
  <Pages>7</Pages>
  <Words>1698</Words>
  <Characters>9681</Characters>
  <Lines>80</Lines>
  <Paragraphs>22</Paragraphs>
  <TotalTime>0</TotalTime>
  <ScaleCrop>false</ScaleCrop>
  <LinksUpToDate>false</LinksUpToDate>
  <CharactersWithSpaces>11357</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2020-09-04T05:34:00Z</dcterms:created>
  <dc:creator>Роман</dc:creator>
  <cp:lastModifiedBy>user</cp:lastModifiedBy>
  <cp:lastPrinted>2021-08-29T18:22:00Z</cp:lastPrinted>
  <dcterms:modified xsi:type="dcterms:W3CDTF">2023-04-03T06:30:21Z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EA7EB6C3FC4F4166A92BAA741ED70B39</vt:lpwstr>
  </property>
</Properties>
</file>